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D0" w:rsidRDefault="001E0DF7" w:rsidP="001E0DF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Oak Hills</w:t>
      </w:r>
    </w:p>
    <w:p w:rsidR="001E0DF7" w:rsidRDefault="001E0DF7" w:rsidP="001E0DF7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>2015 4</w:t>
      </w:r>
      <w:r w:rsidRPr="001E0DF7">
        <w:rPr>
          <w:b/>
          <w:i/>
          <w:sz w:val="36"/>
          <w:szCs w:val="36"/>
          <w:vertAlign w:val="superscript"/>
        </w:rPr>
        <w:t>th</w:t>
      </w:r>
      <w:r>
        <w:rPr>
          <w:b/>
          <w:i/>
          <w:sz w:val="36"/>
          <w:szCs w:val="36"/>
        </w:rPr>
        <w:t xml:space="preserve"> Quarter Sales </w:t>
      </w:r>
    </w:p>
    <w:p w:rsidR="001E0DF7" w:rsidRPr="001E0DF7" w:rsidRDefault="001E0DF7" w:rsidP="001E0DF7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4EE6BDF" wp14:editId="276A78EE">
            <wp:extent cx="8896350" cy="57340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E0DF7" w:rsidRPr="001E0DF7" w:rsidSect="001E0D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F7"/>
    <w:rsid w:val="001E0DF7"/>
    <w:rsid w:val="006027D0"/>
    <w:rsid w:val="00615806"/>
    <w:rsid w:val="00C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7B680-170D-4C80-9542-6C668B26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2">
                  <c:v>1</c:v>
                </c:pt>
                <c:pt idx="4">
                  <c:v>7</c:v>
                </c:pt>
                <c:pt idx="5">
                  <c:v>2</c:v>
                </c:pt>
                <c:pt idx="6">
                  <c:v>6</c:v>
                </c:pt>
                <c:pt idx="7">
                  <c:v>2</c:v>
                </c:pt>
                <c:pt idx="8">
                  <c:v>6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9570096"/>
        <c:axId val="410070544"/>
        <c:axId val="0"/>
      </c:bar3DChart>
      <c:catAx>
        <c:axId val="479570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070544"/>
        <c:crosses val="autoZero"/>
        <c:auto val="1"/>
        <c:lblAlgn val="ctr"/>
        <c:lblOffset val="100"/>
        <c:noMultiLvlLbl val="0"/>
      </c:catAx>
      <c:valAx>
        <c:axId val="410070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79570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0.16595</cdr:x>
      <cdr:y>0.07807</cdr:y>
    </cdr:from>
    <cdr:to>
      <cdr:x>0.55246</cdr:x>
      <cdr:y>0.11296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447675"/>
          <a:ext cx="34385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4,334</a:t>
          </a:r>
          <a:r>
            <a:rPr lang="en-US" sz="1000" i="1"/>
            <a:t> 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0.16702</cdr:x>
      <cdr:y>0.14618</cdr:y>
    </cdr:from>
    <cdr:to>
      <cdr:x>0.56745</cdr:x>
      <cdr:y>0.18106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838200"/>
          <a:ext cx="35623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3,682</a:t>
          </a:r>
          <a:r>
            <a:rPr lang="en-US" sz="1000" i="1" baseline="0"/>
            <a:t> - Average Year Built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0.16595</cdr:x>
      <cdr:y>0.21096</cdr:y>
    </cdr:from>
    <cdr:to>
      <cdr:x>0.70557</cdr:x>
      <cdr:y>0.24751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209675"/>
          <a:ext cx="48006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3,544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0.16595</cdr:x>
      <cdr:y>0.27907</cdr:y>
    </cdr:from>
    <cdr:to>
      <cdr:x>0.59208</cdr:x>
      <cdr:y>0.31395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600200"/>
          <a:ext cx="37909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2,746</a:t>
          </a:r>
          <a:r>
            <a:rPr lang="en-US" sz="1000" i="1"/>
            <a:t> 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0.16488</cdr:x>
      <cdr:y>0.34551</cdr:y>
    </cdr:from>
    <cdr:to>
      <cdr:x>0.62206</cdr:x>
      <cdr:y>0.38206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1981200"/>
          <a:ext cx="40671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2,632 </a:t>
          </a:r>
          <a:r>
            <a:rPr lang="en-US" sz="1000" i="1"/>
            <a:t>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0.16702</cdr:x>
      <cdr:y>0.4103</cdr:y>
    </cdr:from>
    <cdr:to>
      <cdr:x>0.62955</cdr:x>
      <cdr:y>0.44684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352675"/>
          <a:ext cx="4114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2,426 </a:t>
          </a:r>
          <a:r>
            <a:rPr lang="en-US" sz="1000" i="1"/>
            <a:t>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0.16488</cdr:x>
      <cdr:y>0.47508</cdr:y>
    </cdr:from>
    <cdr:to>
      <cdr:x>0.70985</cdr:x>
      <cdr:y>0.51495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2724150"/>
          <a:ext cx="48482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2,260 </a:t>
          </a:r>
          <a:r>
            <a:rPr lang="en-US" sz="1000" i="1" baseline="0"/>
            <a:t>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0.16595</cdr:x>
      <cdr:y>0.54153</cdr:y>
    </cdr:from>
    <cdr:to>
      <cdr:x>0.50214</cdr:x>
      <cdr:y>0.57641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105150"/>
          <a:ext cx="29908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2,460</a:t>
          </a:r>
          <a:r>
            <a:rPr lang="en-US" sz="1000" i="1" baseline="0"/>
            <a:t> - Average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0.16381</cdr:x>
      <cdr:y>0.60631</cdr:y>
    </cdr:from>
    <cdr:to>
      <cdr:x>0.47645</cdr:x>
      <cdr:y>0.63953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57325" y="3476625"/>
          <a:ext cx="27813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2,678</a:t>
          </a:r>
          <a:r>
            <a:rPr lang="en-US" sz="1000" i="1"/>
            <a:t> 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0.16595</cdr:x>
      <cdr:y>0.67608</cdr:y>
    </cdr:from>
    <cdr:to>
      <cdr:x>0.5257</cdr:x>
      <cdr:y>0.71429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3876675"/>
          <a:ext cx="32004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2,088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0.16702</cdr:x>
      <cdr:y>0.80565</cdr:y>
    </cdr:from>
    <cdr:to>
      <cdr:x>0.48715</cdr:x>
      <cdr:y>0.84551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619625"/>
          <a:ext cx="2847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1,760</a:t>
          </a:r>
          <a:r>
            <a:rPr lang="en-US" sz="1000" i="1" baseline="0"/>
            <a:t> 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2016-02-04T19:47:00Z</dcterms:created>
  <dcterms:modified xsi:type="dcterms:W3CDTF">2016-02-04T20:15:00Z</dcterms:modified>
</cp:coreProperties>
</file>